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92" w:rsidRPr="00BA7592" w:rsidRDefault="00BA7592" w:rsidP="00BA7592">
      <w:pPr>
        <w:jc w:val="center"/>
        <w:rPr>
          <w:b/>
        </w:rPr>
      </w:pPr>
      <w:r w:rsidRPr="00BA7592">
        <w:rPr>
          <w:b/>
        </w:rPr>
        <w:t>Dr. iur. Georg-Klaus de Bronett</w:t>
      </w:r>
    </w:p>
    <w:p w:rsidR="00BA7592" w:rsidRPr="00BA7592" w:rsidRDefault="00BA7592" w:rsidP="00BA7592">
      <w:pPr>
        <w:jc w:val="center"/>
        <w:rPr>
          <w:b/>
        </w:rPr>
      </w:pPr>
    </w:p>
    <w:p w:rsidR="00BA7592" w:rsidRDefault="00BA7592" w:rsidP="00BA7592">
      <w:pPr>
        <w:jc w:val="center"/>
        <w:rPr>
          <w:u w:val="single"/>
        </w:rPr>
      </w:pPr>
      <w:r w:rsidRPr="00BA7592">
        <w:rPr>
          <w:b/>
        </w:rPr>
        <w:t>Literaturliste</w:t>
      </w:r>
    </w:p>
    <w:p w:rsidR="00BA7592" w:rsidRDefault="00BA7592" w:rsidP="00DA5747">
      <w:pPr>
        <w:rPr>
          <w:u w:val="single"/>
        </w:rPr>
      </w:pPr>
    </w:p>
    <w:p w:rsidR="00BA7592" w:rsidRDefault="00BA7592" w:rsidP="00DA5747">
      <w:pPr>
        <w:rPr>
          <w:u w:val="single"/>
        </w:rPr>
      </w:pPr>
    </w:p>
    <w:p w:rsidR="00DA5747" w:rsidRPr="00E03E75" w:rsidRDefault="00DA5747" w:rsidP="00DA5747">
      <w:pPr>
        <w:rPr>
          <w:u w:val="single"/>
        </w:rPr>
      </w:pPr>
      <w:r w:rsidRPr="00E03E75">
        <w:rPr>
          <w:u w:val="single"/>
        </w:rPr>
        <w:t>Bücher</w:t>
      </w:r>
    </w:p>
    <w:p w:rsidR="00DA5747" w:rsidRDefault="00DA5747" w:rsidP="00DA5747">
      <w:pPr>
        <w:rPr>
          <w:u w:val="single"/>
        </w:rPr>
      </w:pPr>
    </w:p>
    <w:p w:rsidR="0073656C" w:rsidRPr="00E03E75" w:rsidRDefault="0073656C" w:rsidP="0073656C">
      <w:r w:rsidRPr="00E03E75">
        <w:t xml:space="preserve">In </w:t>
      </w:r>
      <w:r w:rsidRPr="00E03E75">
        <w:rPr>
          <w:i/>
        </w:rPr>
        <w:t>Wiedemann</w:t>
      </w:r>
      <w:r>
        <w:t>, Handbuch des Kartellrechts, 3</w:t>
      </w:r>
      <w:r w:rsidRPr="00E03E75">
        <w:t>. Aufl</w:t>
      </w:r>
      <w:r>
        <w:t>a</w:t>
      </w:r>
      <w:r w:rsidRPr="00E03E75">
        <w:t>g</w:t>
      </w:r>
      <w:r>
        <w:t xml:space="preserve">e </w:t>
      </w:r>
      <w:r w:rsidRPr="00E03E75">
        <w:t>20</w:t>
      </w:r>
      <w:r>
        <w:t>16</w:t>
      </w:r>
      <w:r w:rsidRPr="00E03E75">
        <w:rPr>
          <w:rStyle w:val="Funotenzeichen"/>
        </w:rPr>
        <w:footnoteReference w:id="1"/>
      </w:r>
      <w:r w:rsidRPr="00E03E75">
        <w:t>, § 22 Das Verbot des Missbrauchs marktbeherrschender Stellungen im E</w:t>
      </w:r>
      <w:r w:rsidR="00974EF1">
        <w:t>U</w:t>
      </w:r>
      <w:r w:rsidRPr="00E03E75">
        <w:t xml:space="preserve">-Kartellrecht (Art. </w:t>
      </w:r>
      <w:r w:rsidR="00974EF1">
        <w:t>10</w:t>
      </w:r>
      <w:r w:rsidRPr="00E03E75">
        <w:t xml:space="preserve">2 </w:t>
      </w:r>
      <w:r w:rsidR="00974EF1">
        <w:t>AEUV</w:t>
      </w:r>
      <w:r w:rsidRPr="00E03E75">
        <w:t>) und § 32 Landwirtschaftliche Erzeugnisse</w:t>
      </w:r>
      <w:r>
        <w:t>.</w:t>
      </w:r>
    </w:p>
    <w:p w:rsidR="0073656C" w:rsidRPr="00E03E75" w:rsidRDefault="0073656C" w:rsidP="00DA5747">
      <w:pPr>
        <w:rPr>
          <w:u w:val="single"/>
        </w:rPr>
      </w:pPr>
    </w:p>
    <w:p w:rsidR="00DA5747" w:rsidRPr="00E03E75" w:rsidRDefault="00DA5747" w:rsidP="00DA5747">
      <w:r w:rsidRPr="00E03E75">
        <w:t xml:space="preserve">In </w:t>
      </w:r>
      <w:r w:rsidRPr="00E03E75">
        <w:rPr>
          <w:i/>
        </w:rPr>
        <w:t>Schulte/Just,</w:t>
      </w:r>
      <w:r>
        <w:t xml:space="preserve"> </w:t>
      </w:r>
      <w:r w:rsidR="00EE086D">
        <w:t xml:space="preserve">Kommentar zum </w:t>
      </w:r>
      <w:r>
        <w:t>Kartellrecht</w:t>
      </w:r>
      <w:r w:rsidR="00EE086D">
        <w:t>, 2. Aufl</w:t>
      </w:r>
      <w:r w:rsidR="007E1AEA">
        <w:t>age</w:t>
      </w:r>
      <w:r>
        <w:t xml:space="preserve"> </w:t>
      </w:r>
      <w:r w:rsidR="00EE086D">
        <w:t>2015</w:t>
      </w:r>
      <w:r w:rsidRPr="00E03E75">
        <w:t>, Artikel 101 AEUV.</w:t>
      </w:r>
      <w:r w:rsidR="00EE086D" w:rsidRPr="00E03E75">
        <w:rPr>
          <w:rStyle w:val="Funotenzeichen"/>
        </w:rPr>
        <w:footnoteReference w:id="2"/>
      </w:r>
    </w:p>
    <w:p w:rsidR="00DA5747" w:rsidRPr="00E03E75" w:rsidRDefault="00DA5747" w:rsidP="00DA5747"/>
    <w:p w:rsidR="00EE086D" w:rsidRPr="00E03E75" w:rsidRDefault="00EE086D" w:rsidP="00EE086D">
      <w:r w:rsidRPr="00E03E75">
        <w:rPr>
          <w:i/>
          <w:iCs w:val="0"/>
        </w:rPr>
        <w:t>de Bronett,</w:t>
      </w:r>
      <w:r w:rsidRPr="00E03E75">
        <w:t xml:space="preserve"> Kommentar zum Europäischen Kar</w:t>
      </w:r>
      <w:r>
        <w:t>tellverfahrensrecht, 2. Aufl</w:t>
      </w:r>
      <w:r w:rsidR="007E1AEA">
        <w:t>a</w:t>
      </w:r>
      <w:r>
        <w:t>g</w:t>
      </w:r>
      <w:r w:rsidR="007E1AEA">
        <w:t>e</w:t>
      </w:r>
      <w:r>
        <w:t xml:space="preserve"> </w:t>
      </w:r>
      <w:r w:rsidRPr="00E03E75">
        <w:t>2012.</w:t>
      </w:r>
    </w:p>
    <w:p w:rsidR="00EE086D" w:rsidRDefault="00EE086D" w:rsidP="00EE086D"/>
    <w:p w:rsidR="007E1AEA" w:rsidRDefault="007E1AEA" w:rsidP="00EE086D">
      <w:r>
        <w:t xml:space="preserve">In </w:t>
      </w:r>
      <w:r w:rsidRPr="007E1AEA">
        <w:t xml:space="preserve">Festschrift für Cornelis </w:t>
      </w:r>
      <w:proofErr w:type="spellStart"/>
      <w:r w:rsidRPr="007E1AEA">
        <w:t>Canenbley</w:t>
      </w:r>
      <w:proofErr w:type="spellEnd"/>
      <w:r w:rsidRPr="007E1AEA">
        <w:t xml:space="preserve"> zum 70. Geburtstag</w:t>
      </w:r>
      <w:r>
        <w:t>,</w:t>
      </w:r>
      <w:r w:rsidRPr="007E1AEA">
        <w:t xml:space="preserve"> 2012, Kommunikationsdefizite der Kommission bezüglich ihrer verfahrensabschließenden Kartellbeschlüsse</w:t>
      </w:r>
      <w:r>
        <w:t>.</w:t>
      </w:r>
    </w:p>
    <w:p w:rsidR="007E1AEA" w:rsidRPr="00E03E75" w:rsidRDefault="007E1AEA" w:rsidP="00EE086D"/>
    <w:p w:rsidR="00DA5747" w:rsidRPr="00E03E75" w:rsidRDefault="00DA5747" w:rsidP="00DA5747">
      <w:r w:rsidRPr="00E03E75">
        <w:t xml:space="preserve">In </w:t>
      </w:r>
      <w:r w:rsidRPr="00E03E75">
        <w:rPr>
          <w:i/>
        </w:rPr>
        <w:t>von der Groeben/Schwarze</w:t>
      </w:r>
      <w:r w:rsidRPr="00E03E75">
        <w:t>, Kommentar</w:t>
      </w:r>
      <w:r>
        <w:t xml:space="preserve"> zum EU-/EG-Vertrag, 6. Aufl</w:t>
      </w:r>
      <w:r w:rsidR="007E1AEA">
        <w:t>a</w:t>
      </w:r>
      <w:r>
        <w:t>g</w:t>
      </w:r>
      <w:r w:rsidR="007E1AEA">
        <w:t>e</w:t>
      </w:r>
      <w:r>
        <w:t xml:space="preserve"> </w:t>
      </w:r>
      <w:r w:rsidRPr="00E03E75">
        <w:t>2003</w:t>
      </w:r>
      <w:r w:rsidRPr="00E03E75">
        <w:rPr>
          <w:rStyle w:val="Funotenzeichen"/>
        </w:rPr>
        <w:footnoteReference w:id="3"/>
      </w:r>
      <w:r w:rsidRPr="00E03E75">
        <w:t xml:space="preserve">, Band </w:t>
      </w:r>
      <w:r w:rsidR="007E1AEA">
        <w:t>2, Die Verordnung Nr. 17</w:t>
      </w:r>
      <w:r w:rsidRPr="00E03E75">
        <w:t>.</w:t>
      </w:r>
    </w:p>
    <w:p w:rsidR="00DA5747" w:rsidRPr="00E03E75" w:rsidRDefault="00DA5747" w:rsidP="00DA5747"/>
    <w:p w:rsidR="007E1AEA" w:rsidRDefault="00DA5747" w:rsidP="00DA5747">
      <w:r w:rsidRPr="00E03E75">
        <w:t xml:space="preserve">In </w:t>
      </w:r>
      <w:r w:rsidRPr="00E03E75">
        <w:rPr>
          <w:i/>
        </w:rPr>
        <w:t>Schröter/Jakob/</w:t>
      </w:r>
      <w:proofErr w:type="spellStart"/>
      <w:r w:rsidRPr="00E03E75">
        <w:rPr>
          <w:i/>
        </w:rPr>
        <w:t>Mederer</w:t>
      </w:r>
      <w:proofErr w:type="spellEnd"/>
      <w:r w:rsidRPr="00E03E75">
        <w:t>, Kommentar zum Europäischen Wettbewerbsrecht 2003</w:t>
      </w:r>
      <w:r w:rsidR="007E1AEA">
        <w:t>, Die Verordnung Nr. 17.</w:t>
      </w:r>
    </w:p>
    <w:p w:rsidR="007E1AEA" w:rsidRDefault="007E1AEA" w:rsidP="00DA5747"/>
    <w:p w:rsidR="00DA5747" w:rsidRPr="00E03E75" w:rsidRDefault="007E1AEA" w:rsidP="00DA5747">
      <w:pPr>
        <w:rPr>
          <w:iCs w:val="0"/>
        </w:rPr>
      </w:pPr>
      <w:r>
        <w:rPr>
          <w:i/>
          <w:iCs w:val="0"/>
        </w:rPr>
        <w:t>Bauer/de Bronett</w:t>
      </w:r>
      <w:r w:rsidR="00DA5747" w:rsidRPr="00E03E75">
        <w:rPr>
          <w:iCs w:val="0"/>
        </w:rPr>
        <w:t xml:space="preserve">, </w:t>
      </w:r>
      <w:r w:rsidR="00DA5747" w:rsidRPr="00E03E75">
        <w:rPr>
          <w:bCs/>
          <w:iCs w:val="0"/>
        </w:rPr>
        <w:t>Die EU-Gruppenfreistellungsverordnung für vertikale Wettbewerbsbeschränkungen</w:t>
      </w:r>
      <w:r w:rsidR="00DA5747" w:rsidRPr="00E03E75">
        <w:rPr>
          <w:iCs w:val="0"/>
        </w:rPr>
        <w:t>, RWS-Skript 311 (2001).</w:t>
      </w:r>
    </w:p>
    <w:p w:rsidR="00DA5747" w:rsidRPr="00E03E75" w:rsidRDefault="00DA5747" w:rsidP="00DA5747">
      <w:pPr>
        <w:rPr>
          <w:iCs w:val="0"/>
        </w:rPr>
      </w:pPr>
    </w:p>
    <w:p w:rsidR="00DA5747" w:rsidRPr="00E03E75" w:rsidRDefault="00DA5747" w:rsidP="00DA5747">
      <w:pPr>
        <w:rPr>
          <w:iCs w:val="0"/>
        </w:rPr>
      </w:pPr>
    </w:p>
    <w:p w:rsidR="00DA5747" w:rsidRDefault="00DA5747" w:rsidP="00DA5747">
      <w:pPr>
        <w:rPr>
          <w:u w:val="single"/>
        </w:rPr>
      </w:pPr>
      <w:r w:rsidRPr="00E03E75">
        <w:rPr>
          <w:u w:val="single"/>
        </w:rPr>
        <w:t>Abhandlungen</w:t>
      </w:r>
    </w:p>
    <w:p w:rsidR="00145E89" w:rsidRDefault="00145E89" w:rsidP="00145E89"/>
    <w:p w:rsidR="00974EF1" w:rsidRDefault="00974EF1" w:rsidP="00145E89">
      <w:r w:rsidRPr="00974EF1">
        <w:t>Die 9. GWB-Novelle – Kein Beitrag zur Beseitigung des „</w:t>
      </w:r>
      <w:proofErr w:type="spellStart"/>
      <w:r w:rsidRPr="00974EF1">
        <w:t>Enforcement</w:t>
      </w:r>
      <w:proofErr w:type="spellEnd"/>
      <w:r w:rsidRPr="00974EF1">
        <w:t>-Flickenteppichs“ des Kartellrechts in der EU</w:t>
      </w:r>
      <w:r>
        <w:t xml:space="preserve">, </w:t>
      </w:r>
      <w:proofErr w:type="spellStart"/>
      <w:r>
        <w:t>NZKart</w:t>
      </w:r>
      <w:proofErr w:type="spellEnd"/>
      <w:r>
        <w:t xml:space="preserve"> 2017, S. </w:t>
      </w:r>
      <w:r w:rsidR="00193EC1">
        <w:t>46.</w:t>
      </w:r>
    </w:p>
    <w:p w:rsidR="00974EF1" w:rsidRDefault="00974EF1" w:rsidP="00145E89"/>
    <w:p w:rsidR="00BA7592" w:rsidRDefault="00BA7592" w:rsidP="00145E89">
      <w:r w:rsidRPr="00BA7592">
        <w:t>Die Harmonisierung der gerichtlichen Kartellverfahren in der EU - Verfahrenseffizienz um jeden Preis?</w:t>
      </w:r>
      <w:r>
        <w:t xml:space="preserve">, </w:t>
      </w:r>
      <w:proofErr w:type="spellStart"/>
      <w:r w:rsidR="00A83EAB">
        <w:t>WuW</w:t>
      </w:r>
      <w:proofErr w:type="spellEnd"/>
      <w:r w:rsidR="00A83EAB">
        <w:t xml:space="preserve"> 2016, </w:t>
      </w:r>
      <w:r w:rsidR="00974EF1">
        <w:t>S. 153</w:t>
      </w:r>
      <w:r>
        <w:t>.</w:t>
      </w:r>
    </w:p>
    <w:p w:rsidR="00BA7592" w:rsidRDefault="00BA7592" w:rsidP="00145E89"/>
    <w:p w:rsidR="007E1AEA" w:rsidRDefault="00145E89" w:rsidP="00145E89">
      <w:r>
        <w:t xml:space="preserve">Die zivilrechtliche Grundstruktur des gerichtlichen Schutzes gegen rechtswidrige Kartellgeldbußen der EU-Kommission: eine Blaupause für die Reform der Kartellverfahrensrechte der Mitgliedstaaten?, </w:t>
      </w:r>
      <w:proofErr w:type="spellStart"/>
      <w:r>
        <w:t>NZKart</w:t>
      </w:r>
      <w:proofErr w:type="spellEnd"/>
      <w:r>
        <w:t xml:space="preserve"> 2015, S. </w:t>
      </w:r>
      <w:r w:rsidRPr="00145E89">
        <w:t>512</w:t>
      </w:r>
      <w:r>
        <w:t xml:space="preserve"> ff.</w:t>
      </w:r>
    </w:p>
    <w:p w:rsidR="007E1AEA" w:rsidRPr="00EE086D" w:rsidRDefault="007E1AEA" w:rsidP="00EE086D"/>
    <w:p w:rsidR="00EE086D" w:rsidRPr="00EE086D" w:rsidRDefault="00EE086D" w:rsidP="00EE086D">
      <w:r w:rsidRPr="00EE086D">
        <w:t>Gesamtschuldnerische Geldbuße</w:t>
      </w:r>
      <w:r w:rsidR="00145E89">
        <w:t>n</w:t>
      </w:r>
      <w:r w:rsidRPr="00EE086D">
        <w:t xml:space="preserve"> nach EU-Kartellrecht für Personen, die wettbewerbswidrig handelnden "wirtschaftlichen Einheiten" angehören</w:t>
      </w:r>
      <w:r>
        <w:t>, EWS 2015, S. 123 ff.</w:t>
      </w:r>
    </w:p>
    <w:p w:rsidR="00DA5747" w:rsidRPr="006B2DD0" w:rsidRDefault="00DA5747" w:rsidP="00DA5747"/>
    <w:p w:rsidR="00DA5747" w:rsidRPr="00BF20A1" w:rsidRDefault="00DA5747" w:rsidP="00DA5747">
      <w:r w:rsidRPr="00A33A56">
        <w:t>Das formelle Verfahren der Kommission zwecks Zurückweisung von Antitrust-Beschwerden im Spannungsverhältnis zwischen Politik und Recht</w:t>
      </w:r>
      <w:r>
        <w:t xml:space="preserve">, </w:t>
      </w:r>
      <w:proofErr w:type="spellStart"/>
      <w:r>
        <w:t>WuW</w:t>
      </w:r>
      <w:proofErr w:type="spellEnd"/>
      <w:r>
        <w:t xml:space="preserve"> 2015 S. 26ff.</w:t>
      </w:r>
    </w:p>
    <w:p w:rsidR="00DA5747" w:rsidRDefault="00DA5747" w:rsidP="00DA5747">
      <w:pPr>
        <w:rPr>
          <w:u w:val="single"/>
        </w:rPr>
      </w:pPr>
    </w:p>
    <w:p w:rsidR="00DA5747" w:rsidRDefault="00DA5747" w:rsidP="00DA5747">
      <w:r>
        <w:t xml:space="preserve">"Unternehmen" als Wiederholungstäter im EU-Kartellrecht vor und nach der Akzo Nobel-Rechtsprechung des EuGH zum Unternehmensbegriff, EWS 2014, </w:t>
      </w:r>
      <w:r w:rsidR="00EE086D">
        <w:t xml:space="preserve">S. </w:t>
      </w:r>
      <w:r>
        <w:t>313ff.</w:t>
      </w:r>
    </w:p>
    <w:p w:rsidR="00DA5747" w:rsidRPr="00206AC8" w:rsidRDefault="00DA5747" w:rsidP="00DA5747"/>
    <w:p w:rsidR="00DA5747" w:rsidRPr="00206AC8" w:rsidRDefault="00DA5747" w:rsidP="00DA5747">
      <w:r>
        <w:t xml:space="preserve">Die Unwirksamkeit der Befugnis des Gerichtshofs der EU zu unbeschränkter Nachprüfung von </w:t>
      </w:r>
      <w:proofErr w:type="spellStart"/>
      <w:r>
        <w:t>Geldbußenbeschlüssen</w:t>
      </w:r>
      <w:proofErr w:type="spellEnd"/>
      <w:r>
        <w:t xml:space="preserve"> der Kommission in Kartellsachen, EWS 2013, S. 449 ff., 2014, S. 5ff.</w:t>
      </w:r>
    </w:p>
    <w:p w:rsidR="00DA5747" w:rsidRPr="00206AC8" w:rsidRDefault="00DA5747" w:rsidP="00DA5747"/>
    <w:p w:rsidR="00DA5747" w:rsidRPr="00846E1E" w:rsidRDefault="00DA5747" w:rsidP="00DA5747">
      <w:r w:rsidRPr="00846E1E">
        <w:t>Ein Vergleich zwischen Kartellgeldbußen gegen Unternehmen und „Pauschalbeträgen“ gegen Mitgliedstaaten wegen Verstoß gegen EU-Recht</w:t>
      </w:r>
      <w:r>
        <w:t xml:space="preserve"> - </w:t>
      </w:r>
      <w:r w:rsidRPr="00846E1E">
        <w:t>Ein Beitrag zur Reform des EU-Kartellrechts</w:t>
      </w:r>
      <w:r>
        <w:t xml:space="preserve">, </w:t>
      </w:r>
      <w:proofErr w:type="spellStart"/>
      <w:r>
        <w:t>ZWeR</w:t>
      </w:r>
      <w:proofErr w:type="spellEnd"/>
      <w:r>
        <w:t xml:space="preserve"> 2013, S. 38 ff.</w:t>
      </w:r>
    </w:p>
    <w:p w:rsidR="00DA5747" w:rsidRPr="00846E1E" w:rsidRDefault="00DA5747" w:rsidP="00DA5747"/>
    <w:p w:rsidR="00DA5747" w:rsidRPr="00210A25" w:rsidRDefault="00DA5747" w:rsidP="00DA5747">
      <w:r w:rsidRPr="00210A25">
        <w:t xml:space="preserve">Der „More </w:t>
      </w:r>
      <w:proofErr w:type="spellStart"/>
      <w:r w:rsidRPr="00210A25">
        <w:t>Economic</w:t>
      </w:r>
      <w:proofErr w:type="spellEnd"/>
      <w:r w:rsidRPr="00210A25">
        <w:t xml:space="preserve"> Approach“ bei der Anwendung des europäischen Kartellverwaltungsre</w:t>
      </w:r>
      <w:r>
        <w:t>chts und Kartellstrafrechts, EWS 2013, S. 1 ff.</w:t>
      </w:r>
    </w:p>
    <w:p w:rsidR="00DA5747" w:rsidRPr="00210A25" w:rsidRDefault="00DA5747" w:rsidP="00DA5747"/>
    <w:p w:rsidR="00DA5747" w:rsidRPr="005113A4" w:rsidRDefault="00DA5747" w:rsidP="00DA5747">
      <w:r w:rsidRPr="005113A4">
        <w:t xml:space="preserve">Die Rechtmäßigkeit der neueren </w:t>
      </w:r>
      <w:proofErr w:type="spellStart"/>
      <w:r w:rsidRPr="005113A4">
        <w:t>Geldbußenpraxis</w:t>
      </w:r>
      <w:proofErr w:type="spellEnd"/>
      <w:r w:rsidRPr="005113A4">
        <w:t xml:space="preserve"> der EU-Kommission wegen Verstoß gegen Verfahrenspflichten nach Art. 23 Abs. 1 Verordnung Nr. 1/2003</w:t>
      </w:r>
      <w:r>
        <w:t xml:space="preserve">, </w:t>
      </w:r>
      <w:proofErr w:type="spellStart"/>
      <w:r>
        <w:t>WuW</w:t>
      </w:r>
      <w:proofErr w:type="spellEnd"/>
      <w:r>
        <w:t xml:space="preserve"> 2012, S. </w:t>
      </w:r>
      <w:r w:rsidRPr="006F4FB4">
        <w:t>1163</w:t>
      </w:r>
      <w:r>
        <w:t xml:space="preserve"> ff.</w:t>
      </w:r>
    </w:p>
    <w:p w:rsidR="00DA5747" w:rsidRPr="00E03E75" w:rsidRDefault="00DA5747" w:rsidP="00DA5747">
      <w:pPr>
        <w:rPr>
          <w:u w:val="single"/>
        </w:rPr>
      </w:pPr>
    </w:p>
    <w:p w:rsidR="00DA5747" w:rsidRPr="00E03E75" w:rsidRDefault="00DA5747" w:rsidP="00DA5747">
      <w:r w:rsidRPr="00E03E75">
        <w:t>Plädoyer für eine Reform der Aufgabenverteilung zwischen der Kommission und dem Gerichtshof der EU bei der Anwendung der Art. 101 und</w:t>
      </w:r>
      <w:r>
        <w:t xml:space="preserve"> 102 AEUV in Einzelfällen, </w:t>
      </w:r>
      <w:proofErr w:type="spellStart"/>
      <w:r>
        <w:t>ZWeR</w:t>
      </w:r>
      <w:proofErr w:type="spellEnd"/>
      <w:r>
        <w:t xml:space="preserve"> </w:t>
      </w:r>
      <w:r w:rsidRPr="00E03E75">
        <w:t>2012</w:t>
      </w:r>
      <w:r>
        <w:t>, S. 157 ff.</w:t>
      </w:r>
    </w:p>
    <w:p w:rsidR="00DA5747" w:rsidRPr="00E03E75" w:rsidRDefault="00DA5747" w:rsidP="00DA5747">
      <w:pPr>
        <w:rPr>
          <w:u w:val="single"/>
        </w:rPr>
      </w:pPr>
    </w:p>
    <w:p w:rsidR="00DA5747" w:rsidRPr="00E03E75" w:rsidRDefault="00DA5747" w:rsidP="00DA5747">
      <w:pPr>
        <w:rPr>
          <w:u w:val="single"/>
        </w:rPr>
      </w:pPr>
      <w:r w:rsidRPr="00E03E75">
        <w:t>„Unternehmen“ als „wirtschaftliche Einheiten“ - Das neue EU-Kartellrecht nach der Rechtsprechung des EuGH in der Rechtssache C-97/08 Akzo Nobel, EWS 2012, S. 113</w:t>
      </w:r>
      <w:r>
        <w:t xml:space="preserve"> ff</w:t>
      </w:r>
      <w:r w:rsidRPr="00E03E75">
        <w:t>.</w:t>
      </w:r>
    </w:p>
    <w:p w:rsidR="00DA5747" w:rsidRPr="00E03E75" w:rsidRDefault="00DA5747" w:rsidP="00DA5747">
      <w:pPr>
        <w:rPr>
          <w:u w:val="single"/>
        </w:rPr>
      </w:pPr>
    </w:p>
    <w:p w:rsidR="00DA5747" w:rsidRPr="00A83EAB" w:rsidRDefault="00DA5747" w:rsidP="00DA5747">
      <w:r w:rsidRPr="00A83EAB">
        <w:t xml:space="preserve">Das Anti-Antitrust, </w:t>
      </w:r>
      <w:proofErr w:type="spellStart"/>
      <w:r w:rsidRPr="00A83EAB">
        <w:t>WuW</w:t>
      </w:r>
      <w:proofErr w:type="spellEnd"/>
      <w:r w:rsidRPr="00A83EAB">
        <w:t xml:space="preserve"> 2011, S. 441.</w:t>
      </w:r>
    </w:p>
    <w:p w:rsidR="00DA5747" w:rsidRPr="00A83EAB" w:rsidRDefault="00DA5747" w:rsidP="00DA5747"/>
    <w:p w:rsidR="00DA5747" w:rsidRPr="00E03E75" w:rsidRDefault="00DA5747" w:rsidP="00DA5747">
      <w:r w:rsidRPr="00E03E75">
        <w:t>Die neuen Ermittlungsbefugnisse der Kommission, EWS 2011, S. 8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Pr="00E03E75" w:rsidRDefault="00DA5747" w:rsidP="00DA5747">
      <w:r w:rsidRPr="00E03E75">
        <w:t xml:space="preserve">Sektorenuntersuchungen - Die Ausübung einer Ermittlungsbefugnis als Aufgabe des europäischen Kartellrechts, </w:t>
      </w:r>
      <w:proofErr w:type="spellStart"/>
      <w:r w:rsidRPr="00E03E75">
        <w:t>WuW</w:t>
      </w:r>
      <w:proofErr w:type="spellEnd"/>
      <w:r w:rsidRPr="00E03E75">
        <w:t xml:space="preserve"> 2010, S. 258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Pr="00E03E75" w:rsidRDefault="00DA5747" w:rsidP="00DA5747">
      <w:r w:rsidRPr="00E03E75">
        <w:t xml:space="preserve">Gemeinschaftsrechtliche Anmerkungen zum "Orange-Book-Standard"-Urteil des BGH, </w:t>
      </w:r>
      <w:proofErr w:type="spellStart"/>
      <w:r w:rsidRPr="00E03E75">
        <w:t>WuW</w:t>
      </w:r>
      <w:proofErr w:type="spellEnd"/>
      <w:r w:rsidRPr="00E03E75">
        <w:t xml:space="preserve"> 2009, S. 899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Pr="00E03E75" w:rsidRDefault="00DA5747" w:rsidP="00DA5747">
      <w:r w:rsidRPr="00E03E75">
        <w:t xml:space="preserve">Der Entzug des Vorteils der Anwendung einer Gruppenfreistellung durch nationale Behörden, </w:t>
      </w:r>
      <w:proofErr w:type="spellStart"/>
      <w:r w:rsidRPr="00E03E75">
        <w:t>WuW</w:t>
      </w:r>
      <w:proofErr w:type="spellEnd"/>
      <w:r w:rsidRPr="00E03E75">
        <w:t xml:space="preserve"> 1999, S. 825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Pr="00E03E75" w:rsidRDefault="00DA5747" w:rsidP="00DA5747">
      <w:r w:rsidRPr="00E03E75">
        <w:t>Grünes Licht für die neue Gemeinschaftspolitik bei vertikalen Beschränkungen, European Law Reporter 1999, S. 290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Pr="00E03E75" w:rsidRDefault="00DA5747" w:rsidP="00DA5747">
      <w:r w:rsidRPr="00E03E75">
        <w:t>Rechtsschutz bei Zurückweisung von Beschwerden durch die Kommission im europäischen Kartellrecht, European Law Reporter 1998, S. 449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Pr="00E03E75" w:rsidRDefault="00DA5747" w:rsidP="00DA5747">
      <w:r w:rsidRPr="00E03E75">
        <w:t>Der EuGH zu den Verfahrensgarantien unmittelbar und individuell betroffener dritter Personen im Fusionskontrollverfahren, European Law Reporter 1998, S.</w:t>
      </w:r>
      <w:r>
        <w:t xml:space="preserve"> </w:t>
      </w:r>
      <w:r w:rsidRPr="00E03E75">
        <w:t>258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Pr="00E03E75" w:rsidRDefault="00DA5747" w:rsidP="00DA5747">
      <w:r w:rsidRPr="00E03E75">
        <w:t xml:space="preserve">Das Beschwerderecht von Personen und Personenvereinigungen bezüglich der Anwendung der Art. 85 und 86 EG-Vertrag durch die Europäische Kommission, </w:t>
      </w:r>
      <w:proofErr w:type="spellStart"/>
      <w:r w:rsidRPr="00E03E75">
        <w:t>WuW</w:t>
      </w:r>
      <w:proofErr w:type="spellEnd"/>
      <w:r w:rsidRPr="00E03E75">
        <w:t xml:space="preserve"> 1997. S. 865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Pr="00E03E75" w:rsidRDefault="00DA5747" w:rsidP="00DA5747">
      <w:r w:rsidRPr="00E03E75">
        <w:t xml:space="preserve">Akteneinsicht in Wettbewerbsverfahren der Europäischen Kommission, </w:t>
      </w:r>
      <w:proofErr w:type="spellStart"/>
      <w:r w:rsidRPr="00E03E75">
        <w:t>WuW</w:t>
      </w:r>
      <w:proofErr w:type="spellEnd"/>
      <w:r w:rsidRPr="00E03E75">
        <w:t xml:space="preserve"> 1997. S. 383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Pr="00E03E75" w:rsidRDefault="00DA5747" w:rsidP="00DA5747">
      <w:r w:rsidRPr="00E03E75">
        <w:lastRenderedPageBreak/>
        <w:t xml:space="preserve">Die einstweiligen Anordnungen des EuGH und </w:t>
      </w:r>
      <w:proofErr w:type="spellStart"/>
      <w:r w:rsidRPr="00E03E75">
        <w:t>EuGEI</w:t>
      </w:r>
      <w:proofErr w:type="spellEnd"/>
      <w:r w:rsidRPr="00E03E75">
        <w:t xml:space="preserve"> in Wettbewerbssachen; </w:t>
      </w:r>
      <w:proofErr w:type="spellStart"/>
      <w:r w:rsidRPr="00E03E75">
        <w:t>WuW</w:t>
      </w:r>
      <w:proofErr w:type="spellEnd"/>
      <w:r w:rsidRPr="00E03E75">
        <w:t xml:space="preserve"> 1994,  S. 813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Default="00DA5747" w:rsidP="00DA5747">
      <w:r w:rsidRPr="00E03E75">
        <w:t xml:space="preserve">Eröffnung und Abschluss von Wettbewerbsverfahren im Anwendungsbereich der VO Nr. 17 des Rates, </w:t>
      </w:r>
      <w:proofErr w:type="spellStart"/>
      <w:r w:rsidRPr="00E03E75">
        <w:t>WuW</w:t>
      </w:r>
      <w:proofErr w:type="spellEnd"/>
      <w:r w:rsidRPr="00E03E75">
        <w:t xml:space="preserve"> 1989. S. 459</w:t>
      </w:r>
      <w:r>
        <w:t xml:space="preserve"> ff</w:t>
      </w:r>
      <w:r w:rsidRPr="00E03E75">
        <w:t>.</w:t>
      </w:r>
    </w:p>
    <w:p w:rsidR="00145E89" w:rsidRPr="00E03E75" w:rsidRDefault="00145E89" w:rsidP="00DA5747"/>
    <w:p w:rsidR="00DA5747" w:rsidRPr="00E03E75" w:rsidRDefault="00DA5747" w:rsidP="00DA5747">
      <w:r w:rsidRPr="00E03E75">
        <w:t>Praxis des europäischen Kartellrechts 1988/1989, FIW-Schriftenreihe Heft 135 (1990), S. 57</w:t>
      </w:r>
      <w:r>
        <w:t xml:space="preserve"> ff</w:t>
      </w:r>
      <w:r w:rsidRPr="00E03E75">
        <w:t>.</w:t>
      </w:r>
    </w:p>
    <w:p w:rsidR="00DA5747" w:rsidRPr="00E03E75" w:rsidRDefault="00DA5747" w:rsidP="00DA5747"/>
    <w:p w:rsidR="00DA5747" w:rsidRPr="00E03E75" w:rsidRDefault="00DA5747" w:rsidP="00DA5747">
      <w:r w:rsidRPr="00E03E75">
        <w:t>Preisregelung im Getränkebezugsvertrag nach deutschem und französischem Recht, RIW/AWD 1978, S. 767</w:t>
      </w:r>
      <w:r>
        <w:t xml:space="preserve"> ff</w:t>
      </w:r>
      <w:r w:rsidRPr="00E03E75">
        <w:t>.</w:t>
      </w:r>
    </w:p>
    <w:p w:rsidR="00DA5747" w:rsidRDefault="00DA5747" w:rsidP="00DA5747"/>
    <w:p w:rsidR="00DA5747" w:rsidRPr="00E03E75" w:rsidRDefault="00DA5747" w:rsidP="00DA5747"/>
    <w:p w:rsidR="00DA5747" w:rsidRPr="00E03E75" w:rsidRDefault="00DA5747" w:rsidP="00DA5747">
      <w:pPr>
        <w:rPr>
          <w:u w:val="single"/>
        </w:rPr>
      </w:pPr>
      <w:r w:rsidRPr="00E03E75">
        <w:rPr>
          <w:u w:val="single"/>
        </w:rPr>
        <w:t>Promotion</w:t>
      </w:r>
    </w:p>
    <w:p w:rsidR="00DA5747" w:rsidRPr="00E03E75" w:rsidRDefault="00DA5747" w:rsidP="00DA5747">
      <w:pPr>
        <w:rPr>
          <w:u w:val="single"/>
        </w:rPr>
      </w:pPr>
    </w:p>
    <w:p w:rsidR="003F2684" w:rsidRDefault="00DA5747">
      <w:r w:rsidRPr="00E03E75">
        <w:t>Der Bierlieferungsvertrag als Beispiel vertraglicher Monopole im deutschen, französischen und belgischen Recht, Köln (1976).</w:t>
      </w:r>
    </w:p>
    <w:p w:rsidR="00BA7592" w:rsidRDefault="00BA7592"/>
    <w:p w:rsidR="00BA7592" w:rsidRDefault="00BA7592"/>
    <w:p w:rsidR="00BA7592" w:rsidRPr="00BA7592" w:rsidRDefault="00BA7592">
      <w:pPr>
        <w:rPr>
          <w:u w:val="single"/>
        </w:rPr>
      </w:pPr>
      <w:r>
        <w:rPr>
          <w:u w:val="single"/>
        </w:rPr>
        <w:t>Stand:</w:t>
      </w:r>
      <w:r w:rsidR="00193EC1">
        <w:t xml:space="preserve"> Februar 2017</w:t>
      </w:r>
      <w:bookmarkStart w:id="0" w:name="_GoBack"/>
      <w:bookmarkEnd w:id="0"/>
    </w:p>
    <w:sectPr w:rsidR="00BA7592" w:rsidRPr="00BA7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47" w:rsidRDefault="00DA5747" w:rsidP="00DA5747">
      <w:r>
        <w:separator/>
      </w:r>
    </w:p>
  </w:endnote>
  <w:endnote w:type="continuationSeparator" w:id="0">
    <w:p w:rsidR="00DA5747" w:rsidRDefault="00DA5747" w:rsidP="00DA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8" w:rsidRDefault="00BC79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47" w:rsidRPr="002B0093" w:rsidRDefault="002B0093" w:rsidP="002B0093">
    <w:pPr>
      <w:pStyle w:val="Fuzeile"/>
    </w:pPr>
    <w:r>
      <w:t xml:space="preserve">Dokument: </w:t>
    </w:r>
    <w:r w:rsidR="00193EC1">
      <w:fldChar w:fldCharType="begin"/>
    </w:r>
    <w:r w:rsidR="00193EC1">
      <w:instrText xml:space="preserve"> DOCPROPERTY DocID \* MERGEFORMAT </w:instrText>
    </w:r>
    <w:r w:rsidR="00193EC1">
      <w:fldChar w:fldCharType="separate"/>
    </w:r>
    <w:r w:rsidR="0073656C">
      <w:t>1241216 v1</w:t>
    </w:r>
    <w:r w:rsidR="00193EC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8" w:rsidRPr="002B0093" w:rsidRDefault="002B0093" w:rsidP="002B0093">
    <w:pPr>
      <w:pStyle w:val="Fuzeile"/>
    </w:pPr>
    <w:r>
      <w:t xml:space="preserve">Dokument: </w:t>
    </w:r>
    <w:r w:rsidR="00193EC1">
      <w:fldChar w:fldCharType="begin"/>
    </w:r>
    <w:r w:rsidR="00193EC1">
      <w:instrText xml:space="preserve"> DOCPROPERTY DocID \* MERGEFORMAT </w:instrText>
    </w:r>
    <w:r w:rsidR="00193EC1">
      <w:fldChar w:fldCharType="separate"/>
    </w:r>
    <w:r w:rsidR="0073656C">
      <w:t>1241216 v1</w:t>
    </w:r>
    <w:r w:rsidR="00193EC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47" w:rsidRDefault="00DA5747" w:rsidP="00DA5747">
      <w:r>
        <w:separator/>
      </w:r>
    </w:p>
  </w:footnote>
  <w:footnote w:type="continuationSeparator" w:id="0">
    <w:p w:rsidR="00DA5747" w:rsidRDefault="00DA5747" w:rsidP="00DA5747">
      <w:r>
        <w:continuationSeparator/>
      </w:r>
    </w:p>
  </w:footnote>
  <w:footnote w:id="1">
    <w:p w:rsidR="0073656C" w:rsidRPr="00EF0158" w:rsidRDefault="0073656C" w:rsidP="0073656C">
      <w:pPr>
        <w:pStyle w:val="Funotentext"/>
        <w:rPr>
          <w:sz w:val="19"/>
          <w:szCs w:val="19"/>
          <w:lang w:val="de-DE"/>
        </w:rPr>
      </w:pPr>
      <w:r w:rsidRPr="00EF0158">
        <w:rPr>
          <w:rStyle w:val="Funotenzeichen"/>
          <w:sz w:val="19"/>
          <w:szCs w:val="19"/>
          <w:lang w:val="de-DE"/>
        </w:rPr>
        <w:footnoteRef/>
      </w:r>
      <w:r w:rsidRPr="00EF0158">
        <w:rPr>
          <w:sz w:val="19"/>
          <w:szCs w:val="19"/>
          <w:lang w:val="de-DE"/>
        </w:rPr>
        <w:t xml:space="preserve"> Mitarbeit bereits an de</w:t>
      </w:r>
      <w:r>
        <w:rPr>
          <w:sz w:val="19"/>
          <w:szCs w:val="19"/>
          <w:lang w:val="de-DE"/>
        </w:rPr>
        <w:t>n</w:t>
      </w:r>
      <w:r w:rsidRPr="00EF0158">
        <w:rPr>
          <w:sz w:val="19"/>
          <w:szCs w:val="19"/>
          <w:lang w:val="de-DE"/>
        </w:rPr>
        <w:t xml:space="preserve"> Vorauflage</w:t>
      </w:r>
      <w:r>
        <w:rPr>
          <w:sz w:val="19"/>
          <w:szCs w:val="19"/>
          <w:lang w:val="de-DE"/>
        </w:rPr>
        <w:t>n</w:t>
      </w:r>
      <w:r w:rsidRPr="00EF0158">
        <w:rPr>
          <w:sz w:val="19"/>
          <w:szCs w:val="19"/>
          <w:lang w:val="de-DE"/>
        </w:rPr>
        <w:t>.</w:t>
      </w:r>
    </w:p>
  </w:footnote>
  <w:footnote w:id="2">
    <w:p w:rsidR="00EE086D" w:rsidRPr="00EF0158" w:rsidRDefault="00EE086D" w:rsidP="00EE086D">
      <w:pPr>
        <w:pStyle w:val="Funotentext"/>
        <w:rPr>
          <w:sz w:val="19"/>
          <w:szCs w:val="19"/>
          <w:lang w:val="de-DE"/>
        </w:rPr>
      </w:pPr>
      <w:r w:rsidRPr="00EF0158">
        <w:rPr>
          <w:rStyle w:val="Funotenzeichen"/>
          <w:sz w:val="19"/>
          <w:szCs w:val="19"/>
          <w:lang w:val="de-DE"/>
        </w:rPr>
        <w:footnoteRef/>
      </w:r>
      <w:r w:rsidRPr="00EF0158">
        <w:rPr>
          <w:sz w:val="19"/>
          <w:szCs w:val="19"/>
          <w:lang w:val="de-DE"/>
        </w:rPr>
        <w:t xml:space="preserve"> Mitarbeit bereits an der Vorauflage.</w:t>
      </w:r>
    </w:p>
  </w:footnote>
  <w:footnote w:id="3">
    <w:p w:rsidR="00DA5747" w:rsidRPr="00EF0158" w:rsidRDefault="00DA5747" w:rsidP="00DA5747">
      <w:pPr>
        <w:pStyle w:val="Funotentext"/>
        <w:rPr>
          <w:sz w:val="19"/>
          <w:szCs w:val="19"/>
          <w:lang w:val="de-DE"/>
        </w:rPr>
      </w:pPr>
      <w:r w:rsidRPr="00EF0158">
        <w:rPr>
          <w:rStyle w:val="Funotenzeichen"/>
          <w:sz w:val="19"/>
          <w:szCs w:val="19"/>
          <w:lang w:val="de-DE"/>
        </w:rPr>
        <w:footnoteRef/>
      </w:r>
      <w:r w:rsidRPr="00EF0158">
        <w:rPr>
          <w:sz w:val="19"/>
          <w:szCs w:val="19"/>
          <w:lang w:val="de-DE"/>
        </w:rPr>
        <w:t xml:space="preserve"> Mitarbeit bereits an </w:t>
      </w:r>
      <w:r w:rsidR="0073656C">
        <w:rPr>
          <w:sz w:val="19"/>
          <w:szCs w:val="19"/>
          <w:lang w:val="de-DE"/>
        </w:rPr>
        <w:t xml:space="preserve">den </w:t>
      </w:r>
      <w:r w:rsidRPr="00EF0158">
        <w:rPr>
          <w:sz w:val="19"/>
          <w:szCs w:val="19"/>
          <w:lang w:val="de-DE"/>
        </w:rPr>
        <w:t>Vorauflagen.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8" w:rsidRDefault="00BC79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8" w:rsidRDefault="00BC79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8" w:rsidRDefault="00BC79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C_DocSettings" w:val="&lt;?xml version=&quot;1.0&quot; encoding=&quot;utf-16&quot;?&gt;_x000d__x000a_&lt;root&gt;_x000d__x000a_  &lt;layout&gt;_x000d__x000a_    &lt;insertdmstitle&gt;False&lt;/insertdmstitle&gt;_x000d__x000a_    &lt;insertdmsnumber&gt;True&lt;/insertdmsnumber&gt;_x000d__x000a_    &lt;insertdmsversion&gt;False&lt;/insertdmsversion&gt;_x000d__x000a_    &lt;insertcmnumber&gt;False&lt;/insertcmnumber&gt;_x000d__x000a_    &lt;insertcomment&gt;False&lt;/insertcomment&gt;_x000d__x000a_    &lt;insertdate&gt;False&lt;/insertdate&gt;_x000d__x000a_    &lt;dateoption&gt;1&lt;/dateoption&gt;_x000d__x000a_    &lt;insertline&gt;False&lt;/insertline&gt;_x000d__x000a_    &lt;insertwmdraft&gt;False&lt;/insertwmdraft&gt;_x000d__x000a_    &lt;insertfilename&gt;False&lt;/insertfilename&gt;_x000d__x000a_    &lt;insertfileinfo&gt;False&lt;/insertfileinfo&gt;_x000d__x000a_    &lt;insertlogo&gt;True&lt;/insertlogo&gt;_x000d__x000a_    &lt;insertdocstatelabel&gt;False&lt;/insertdocstatelabel&gt;_x000d__x000a_    &lt;docstatelabelusedefault&gt;True&lt;/docstatelabelusedefault&gt;_x000d__x000a_    &lt;docstatelabelusefreetext&gt;False&lt;/docstatelabelusefreetext&gt;_x000d__x000a_    &lt;nocompanylayout&gt;False&lt;/nocompanylayout&gt;_x000d__x000a_    &lt;languageid&gt;1031&lt;/languageid&gt;_x000d__x000a_    &lt;commenttext&gt;&lt;![CDATA[]]&gt;&lt;/commenttext&gt;_x000d__x000a_    &lt;docstatelabelfreetext&gt;&lt;![CDATA[]]&gt;&lt;/docstatelabelfreetext&gt;_x000d__x000a_    &lt;docstatelabeldefaultline&gt;CONF&lt;/docstatelabeldefaultline&gt;_x000d__x000a_  &lt;/layout&gt;_x000d__x000a_&lt;/root&gt;"/>
  </w:docVars>
  <w:rsids>
    <w:rsidRoot w:val="00DA5747"/>
    <w:rsid w:val="00145E89"/>
    <w:rsid w:val="00193EC1"/>
    <w:rsid w:val="002B0093"/>
    <w:rsid w:val="003F2684"/>
    <w:rsid w:val="003F44C9"/>
    <w:rsid w:val="0073656C"/>
    <w:rsid w:val="007E1AEA"/>
    <w:rsid w:val="00974EF1"/>
    <w:rsid w:val="00A83EAB"/>
    <w:rsid w:val="00BA7592"/>
    <w:rsid w:val="00BC79E8"/>
    <w:rsid w:val="00DA5747"/>
    <w:rsid w:val="00E85C0D"/>
    <w:rsid w:val="00E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747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DA5747"/>
    <w:rPr>
      <w:sz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DA5747"/>
    <w:rPr>
      <w:rFonts w:ascii="Times New Roman" w:eastAsia="Times New Roman" w:hAnsi="Times New Roman" w:cs="Times New Roman"/>
      <w:iCs/>
      <w:sz w:val="20"/>
      <w:szCs w:val="24"/>
      <w:lang w:val="en-GB" w:eastAsia="en-GB"/>
    </w:rPr>
  </w:style>
  <w:style w:type="character" w:styleId="Funotenzeichen">
    <w:name w:val="footnote reference"/>
    <w:semiHidden/>
    <w:rsid w:val="00DA574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A5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5747"/>
    <w:rPr>
      <w:rFonts w:ascii="Times New Roman" w:eastAsia="Times New Roman" w:hAnsi="Times New Roman" w:cs="Times New Roman"/>
      <w:iCs/>
      <w:sz w:val="24"/>
      <w:szCs w:val="24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DA5747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A5747"/>
    <w:rPr>
      <w:rFonts w:ascii="Times New Roman" w:eastAsia="Times New Roman" w:hAnsi="Times New Roman" w:cs="Times New Roman"/>
      <w:iCs/>
      <w:sz w:val="16"/>
      <w:szCs w:val="24"/>
      <w:lang w:eastAsia="en-GB"/>
    </w:rPr>
  </w:style>
  <w:style w:type="character" w:styleId="Seitenzahl">
    <w:name w:val="page number"/>
    <w:basedOn w:val="Absatz-Standardschriftart"/>
    <w:uiPriority w:val="99"/>
    <w:semiHidden/>
    <w:unhideWhenUsed/>
    <w:rsid w:val="002B0093"/>
    <w:rPr>
      <w:rFonts w:ascii="Arial" w:hAnsi="Arial" w:cs="Arial"/>
      <w:sz w:val="16"/>
    </w:rPr>
  </w:style>
  <w:style w:type="paragraph" w:customStyle="1" w:styleId="FooterBlank">
    <w:name w:val="Footer Blank"/>
    <w:basedOn w:val="Standard"/>
    <w:rsid w:val="002B0093"/>
    <w:pPr>
      <w:jc w:val="center"/>
    </w:pPr>
    <w:rPr>
      <w:sz w:val="16"/>
    </w:rPr>
  </w:style>
  <w:style w:type="paragraph" w:customStyle="1" w:styleId="FooterLineTop">
    <w:name w:val="Footer LineTop"/>
    <w:basedOn w:val="Standard"/>
    <w:rsid w:val="002B0093"/>
    <w:pPr>
      <w:pBdr>
        <w:top w:val="single" w:sz="4" w:space="0" w:color="auto"/>
      </w:pBdr>
      <w:jc w:val="center"/>
    </w:pPr>
    <w:rPr>
      <w:sz w:val="16"/>
    </w:rPr>
  </w:style>
  <w:style w:type="paragraph" w:customStyle="1" w:styleId="HeaderDocStatePos">
    <w:name w:val="Header DocStatePos"/>
    <w:basedOn w:val="Standard"/>
    <w:rsid w:val="002B0093"/>
    <w:pPr>
      <w:jc w:val="right"/>
    </w:pPr>
    <w:rPr>
      <w:rFonts w:ascii="Arial" w:hAnsi="Arial" w:cs="Arial"/>
      <w:b/>
      <w:spacing w:val="20"/>
    </w:rPr>
  </w:style>
  <w:style w:type="paragraph" w:customStyle="1" w:styleId="HeaderPageNumPos">
    <w:name w:val="Header PageNumPos"/>
    <w:basedOn w:val="Standard"/>
    <w:rsid w:val="002B0093"/>
    <w:pPr>
      <w:spacing w:before="140"/>
      <w:jc w:val="right"/>
    </w:pPr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747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DA5747"/>
    <w:rPr>
      <w:sz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DA5747"/>
    <w:rPr>
      <w:rFonts w:ascii="Times New Roman" w:eastAsia="Times New Roman" w:hAnsi="Times New Roman" w:cs="Times New Roman"/>
      <w:iCs/>
      <w:sz w:val="20"/>
      <w:szCs w:val="24"/>
      <w:lang w:val="en-GB" w:eastAsia="en-GB"/>
    </w:rPr>
  </w:style>
  <w:style w:type="character" w:styleId="Funotenzeichen">
    <w:name w:val="footnote reference"/>
    <w:semiHidden/>
    <w:rsid w:val="00DA574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A5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5747"/>
    <w:rPr>
      <w:rFonts w:ascii="Times New Roman" w:eastAsia="Times New Roman" w:hAnsi="Times New Roman" w:cs="Times New Roman"/>
      <w:iCs/>
      <w:sz w:val="24"/>
      <w:szCs w:val="24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DA5747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A5747"/>
    <w:rPr>
      <w:rFonts w:ascii="Times New Roman" w:eastAsia="Times New Roman" w:hAnsi="Times New Roman" w:cs="Times New Roman"/>
      <w:iCs/>
      <w:sz w:val="16"/>
      <w:szCs w:val="24"/>
      <w:lang w:eastAsia="en-GB"/>
    </w:rPr>
  </w:style>
  <w:style w:type="character" w:styleId="Seitenzahl">
    <w:name w:val="page number"/>
    <w:basedOn w:val="Absatz-Standardschriftart"/>
    <w:uiPriority w:val="99"/>
    <w:semiHidden/>
    <w:unhideWhenUsed/>
    <w:rsid w:val="002B0093"/>
    <w:rPr>
      <w:rFonts w:ascii="Arial" w:hAnsi="Arial" w:cs="Arial"/>
      <w:sz w:val="16"/>
    </w:rPr>
  </w:style>
  <w:style w:type="paragraph" w:customStyle="1" w:styleId="FooterBlank">
    <w:name w:val="Footer Blank"/>
    <w:basedOn w:val="Standard"/>
    <w:rsid w:val="002B0093"/>
    <w:pPr>
      <w:jc w:val="center"/>
    </w:pPr>
    <w:rPr>
      <w:sz w:val="16"/>
    </w:rPr>
  </w:style>
  <w:style w:type="paragraph" w:customStyle="1" w:styleId="FooterLineTop">
    <w:name w:val="Footer LineTop"/>
    <w:basedOn w:val="Standard"/>
    <w:rsid w:val="002B0093"/>
    <w:pPr>
      <w:pBdr>
        <w:top w:val="single" w:sz="4" w:space="0" w:color="auto"/>
      </w:pBdr>
      <w:jc w:val="center"/>
    </w:pPr>
    <w:rPr>
      <w:sz w:val="16"/>
    </w:rPr>
  </w:style>
  <w:style w:type="paragraph" w:customStyle="1" w:styleId="HeaderDocStatePos">
    <w:name w:val="Header DocStatePos"/>
    <w:basedOn w:val="Standard"/>
    <w:rsid w:val="002B0093"/>
    <w:pPr>
      <w:jc w:val="right"/>
    </w:pPr>
    <w:rPr>
      <w:rFonts w:ascii="Arial" w:hAnsi="Arial" w:cs="Arial"/>
      <w:b/>
      <w:spacing w:val="20"/>
    </w:rPr>
  </w:style>
  <w:style w:type="paragraph" w:customStyle="1" w:styleId="HeaderPageNumPos">
    <w:name w:val="Header PageNumPos"/>
    <w:basedOn w:val="Standard"/>
    <w:rsid w:val="002B0093"/>
    <w:pPr>
      <w:spacing w:before="140"/>
      <w:jc w:val="right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4040</Characters>
  <Application>Microsoft Office Word</Application>
  <DocSecurity>0</DocSecurity>
  <Lines>53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 Bronett, Dr. iur Georg-Klaus</cp:lastModifiedBy>
  <cp:revision>9</cp:revision>
  <cp:lastPrinted>2016-02-23T15:07:00Z</cp:lastPrinted>
  <dcterms:created xsi:type="dcterms:W3CDTF">2015-11-25T12:20:00Z</dcterms:created>
  <dcterms:modified xsi:type="dcterms:W3CDTF">2017-02-28T10:45:00Z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DocNumber">
    <vt:lpwstr># 1241216</vt:lpwstr>
  </property>
  <property fmtid="{D5CDD505-2E9C-101B-9397-08002B2CF9AE}" pid="3" name="DMS_Version">
    <vt:lpwstr>1</vt:lpwstr>
  </property>
  <property fmtid="{D5CDD505-2E9C-101B-9397-08002B2CF9AE}" pid="4" name="DMS_Name">
    <vt:lpwstr>Literaturliste</vt:lpwstr>
  </property>
  <property fmtid="{D5CDD505-2E9C-101B-9397-08002B2CF9AE}" pid="5" name="DMS_Author.Full_Name">
    <vt:lpwstr>de Bronett, Dr. iur Georg-Klaus</vt:lpwstr>
  </property>
  <property fmtid="{D5CDD505-2E9C-101B-9397-08002B2CF9AE}" pid="6" name="DMS_Author.User_ID">
    <vt:lpwstr>GDB</vt:lpwstr>
  </property>
  <property fmtid="{D5CDD505-2E9C-101B-9397-08002B2CF9AE}" pid="7" name="DMS_Typist.Full_Name">
    <vt:lpwstr>de Bronett, Dr. iur Georg-Klaus</vt:lpwstr>
  </property>
  <property fmtid="{D5CDD505-2E9C-101B-9397-08002B2CF9AE}" pid="8" name="DMS_Typist.User_ID">
    <vt:lpwstr>GDB</vt:lpwstr>
  </property>
  <property fmtid="{D5CDD505-2E9C-101B-9397-08002B2CF9AE}" pid="9" name="DMS_LAS_Mandant">
    <vt:lpwstr>ALG15</vt:lpwstr>
  </property>
  <property fmtid="{D5CDD505-2E9C-101B-9397-08002B2CF9AE}" pid="10" name="DMS_LAS_Akte">
    <vt:lpwstr>S150240</vt:lpwstr>
  </property>
  <property fmtid="{D5CDD505-2E9C-101B-9397-08002B2CF9AE}" pid="11" name="DMS_FULLPATH_Version">
    <vt:lpwstr> </vt:lpwstr>
  </property>
  <property fmtid="{D5CDD505-2E9C-101B-9397-08002B2CF9AE}" pid="12" name="DMS_Library">
    <vt:lpwstr>DMSFRA</vt:lpwstr>
  </property>
  <property fmtid="{D5CDD505-2E9C-101B-9397-08002B2CF9AE}" pid="13" name="DocID">
    <vt:lpwstr>1241216 v1</vt:lpwstr>
  </property>
  <property fmtid="{D5CDD505-2E9C-101B-9397-08002B2CF9AE}" pid="14" name="pDokNummer">
    <vt:lpwstr>1241216 v1</vt:lpwstr>
  </property>
  <property fmtid="{D5CDD505-2E9C-101B-9397-08002B2CF9AE}" pid="15" name="pDokCod">
    <vt:lpwstr>ALG15.S150240.GDB</vt:lpwstr>
  </property>
  <property fmtid="{D5CDD505-2E9C-101B-9397-08002B2CF9AE}" pid="16" name="MatterID">
    <vt:lpwstr>ALG15.S150240.GDB</vt:lpwstr>
  </property>
</Properties>
</file>